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1C" w:rsidRPr="009D0E1C" w:rsidRDefault="009D0E1C" w:rsidP="009D0E1C">
      <w:pPr>
        <w:jc w:val="both"/>
        <w:rPr>
          <w:b/>
          <w:u w:val="single"/>
        </w:rPr>
      </w:pPr>
      <w:bookmarkStart w:id="0" w:name="_GoBack"/>
      <w:bookmarkEnd w:id="0"/>
      <w:r w:rsidRPr="009D0E1C">
        <w:rPr>
          <w:b/>
          <w:u w:val="single"/>
        </w:rPr>
        <w:t>Proposed Principal Development Standard Clause</w:t>
      </w:r>
    </w:p>
    <w:p w:rsidR="009D0E1C" w:rsidRDefault="009D0E1C" w:rsidP="00E10EFF">
      <w:pPr>
        <w:ind w:left="360"/>
        <w:jc w:val="both"/>
        <w:rPr>
          <w:u w:val="single"/>
        </w:rPr>
      </w:pPr>
    </w:p>
    <w:p w:rsidR="00E10EFF" w:rsidRPr="00341BCC" w:rsidRDefault="00E10EFF" w:rsidP="00E10EFF">
      <w:pPr>
        <w:ind w:left="360"/>
        <w:jc w:val="both"/>
        <w:rPr>
          <w:u w:val="single"/>
        </w:rPr>
      </w:pPr>
      <w:r w:rsidRPr="00341BCC">
        <w:rPr>
          <w:u w:val="single"/>
        </w:rPr>
        <w:t>4.1C Exceptions to minimum lot sizes for certain residential development</w:t>
      </w:r>
    </w:p>
    <w:p w:rsidR="00E10EFF" w:rsidRPr="00341BCC" w:rsidRDefault="00E10EFF" w:rsidP="00E10EFF">
      <w:pPr>
        <w:jc w:val="both"/>
      </w:pPr>
    </w:p>
    <w:p w:rsidR="00E10EFF" w:rsidRPr="00341BCC" w:rsidRDefault="00E10EFF" w:rsidP="00E10EFF">
      <w:pPr>
        <w:pStyle w:val="ListParagraph"/>
        <w:numPr>
          <w:ilvl w:val="0"/>
          <w:numId w:val="2"/>
        </w:numPr>
        <w:spacing w:before="120" w:after="120"/>
        <w:ind w:hanging="357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The objectives of this clause are as follows:</w:t>
      </w:r>
    </w:p>
    <w:p w:rsidR="00E10EFF" w:rsidRPr="00341BCC" w:rsidRDefault="00E10EFF" w:rsidP="00E10EFF">
      <w:pPr>
        <w:pStyle w:val="ListParagraph"/>
        <w:spacing w:before="120" w:after="120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1"/>
          <w:numId w:val="2"/>
        </w:numPr>
        <w:spacing w:before="120" w:after="120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to encourage housing diversity without adversely impacting on residential amenity,</w:t>
      </w:r>
    </w:p>
    <w:p w:rsidR="00E10EFF" w:rsidRPr="00341BCC" w:rsidRDefault="00E10EFF" w:rsidP="00E10EFF">
      <w:pPr>
        <w:pStyle w:val="ListParagraph"/>
        <w:spacing w:before="120" w:after="120"/>
        <w:ind w:left="1440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1"/>
          <w:numId w:val="2"/>
        </w:numPr>
        <w:spacing w:before="120" w:after="120"/>
        <w:jc w:val="both"/>
        <w:rPr>
          <w:sz w:val="24"/>
          <w:szCs w:val="24"/>
        </w:rPr>
      </w:pPr>
      <w:proofErr w:type="gramStart"/>
      <w:r w:rsidRPr="00341BCC">
        <w:rPr>
          <w:sz w:val="24"/>
          <w:szCs w:val="24"/>
        </w:rPr>
        <w:t>to</w:t>
      </w:r>
      <w:proofErr w:type="gramEnd"/>
      <w:r w:rsidRPr="00341BCC">
        <w:rPr>
          <w:sz w:val="24"/>
          <w:szCs w:val="24"/>
        </w:rPr>
        <w:t xml:space="preserve"> ensure that lot sizes are consistent with the predominant subdivision pattern of the area and maintain a low density residential character in existing neighbourhoods.</w:t>
      </w:r>
    </w:p>
    <w:p w:rsidR="00E10EFF" w:rsidRPr="00341BCC" w:rsidRDefault="00E10EFF" w:rsidP="00E10EFF">
      <w:pPr>
        <w:pStyle w:val="ListParagraph"/>
        <w:spacing w:before="120" w:after="120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0"/>
          <w:numId w:val="2"/>
        </w:numPr>
        <w:spacing w:before="120" w:after="120" w:line="240" w:lineRule="atLeast"/>
        <w:ind w:hanging="357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This clause applies to land identified as “Area 1” on the Minimum Lot Size Map.</w:t>
      </w:r>
    </w:p>
    <w:p w:rsidR="00E10EFF" w:rsidRPr="00341BCC" w:rsidRDefault="00E10EFF" w:rsidP="00E10EFF">
      <w:pPr>
        <w:pStyle w:val="ListParagraph"/>
        <w:spacing w:before="120" w:after="120" w:line="240" w:lineRule="atLeast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0"/>
          <w:numId w:val="2"/>
        </w:numPr>
        <w:spacing w:before="120" w:after="120" w:line="240" w:lineRule="atLeast"/>
        <w:ind w:hanging="357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Despite clause 4.1(3) development consent may be granted to a single development application for development to which this clause applies that is both the following:</w:t>
      </w:r>
    </w:p>
    <w:p w:rsidR="00E10EFF" w:rsidRPr="00341BCC" w:rsidRDefault="00E10EFF" w:rsidP="00E10EFF">
      <w:pPr>
        <w:pStyle w:val="ListParagraph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1"/>
          <w:numId w:val="2"/>
        </w:numPr>
        <w:spacing w:before="120" w:after="120" w:line="240" w:lineRule="atLeast"/>
        <w:ind w:hanging="357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The subdivision of land into 2 or more lots, and</w:t>
      </w:r>
    </w:p>
    <w:p w:rsidR="00E10EFF" w:rsidRPr="00341BCC" w:rsidRDefault="00E10EFF" w:rsidP="00E10EFF">
      <w:pPr>
        <w:pStyle w:val="ListParagraph"/>
        <w:spacing w:before="120" w:after="120" w:line="240" w:lineRule="atLeast"/>
        <w:ind w:left="1440"/>
        <w:jc w:val="both"/>
        <w:rPr>
          <w:sz w:val="24"/>
          <w:szCs w:val="24"/>
        </w:rPr>
      </w:pPr>
    </w:p>
    <w:p w:rsidR="00E10EFF" w:rsidRPr="00341BCC" w:rsidRDefault="00E10EFF" w:rsidP="00E10EFF">
      <w:pPr>
        <w:pStyle w:val="ListParagraph"/>
        <w:numPr>
          <w:ilvl w:val="1"/>
          <w:numId w:val="2"/>
        </w:numPr>
        <w:spacing w:before="120" w:after="120" w:line="240" w:lineRule="atLeast"/>
        <w:ind w:hanging="357"/>
        <w:jc w:val="both"/>
        <w:rPr>
          <w:sz w:val="24"/>
          <w:szCs w:val="24"/>
        </w:rPr>
      </w:pPr>
      <w:r w:rsidRPr="00341BCC">
        <w:rPr>
          <w:sz w:val="24"/>
          <w:szCs w:val="24"/>
        </w:rPr>
        <w:t>The erection of an attached dwelling or semi-detached dwelling on each lot resulting from the subdivision, if the size of each lot is equal to or greater than 200 square metres.</w:t>
      </w:r>
    </w:p>
    <w:p w:rsidR="00E10EFF" w:rsidRPr="00341BCC" w:rsidRDefault="00E10EFF" w:rsidP="00E10EFF">
      <w:pPr>
        <w:jc w:val="both"/>
        <w:rPr>
          <w:rFonts w:cs="Arial"/>
        </w:rPr>
      </w:pPr>
    </w:p>
    <w:p w:rsidR="009D0E1C" w:rsidRPr="009D0E1C" w:rsidRDefault="009D0E1C" w:rsidP="009D0E1C">
      <w:pPr>
        <w:jc w:val="both"/>
        <w:rPr>
          <w:rFonts w:cs="Arial"/>
          <w:b/>
          <w:u w:val="single"/>
        </w:rPr>
      </w:pPr>
      <w:r w:rsidRPr="009D0E1C">
        <w:rPr>
          <w:rFonts w:cs="Arial"/>
          <w:b/>
          <w:u w:val="single"/>
        </w:rPr>
        <w:t>Proposed Lot Size Map Amendment</w:t>
      </w:r>
    </w:p>
    <w:p w:rsidR="009D0E1C" w:rsidRDefault="009D0E1C" w:rsidP="009D0E1C">
      <w:pPr>
        <w:jc w:val="both"/>
        <w:rPr>
          <w:rFonts w:cs="Arial"/>
        </w:rPr>
      </w:pPr>
    </w:p>
    <w:p w:rsidR="00E10EFF" w:rsidRPr="00341BCC" w:rsidRDefault="00E10EFF" w:rsidP="009D0E1C">
      <w:pPr>
        <w:jc w:val="both"/>
        <w:rPr>
          <w:rFonts w:cs="Arial"/>
        </w:rPr>
      </w:pPr>
      <w:r w:rsidRPr="00341BCC">
        <w:rPr>
          <w:rFonts w:cs="Arial"/>
        </w:rPr>
        <w:t xml:space="preserve">Amend the </w:t>
      </w:r>
      <w:r w:rsidR="009D0E1C">
        <w:rPr>
          <w:rFonts w:cs="Arial"/>
        </w:rPr>
        <w:t xml:space="preserve">Fairfield LEP 2013 </w:t>
      </w:r>
      <w:r w:rsidRPr="00341BCC">
        <w:rPr>
          <w:rFonts w:cs="Arial"/>
        </w:rPr>
        <w:t xml:space="preserve">Lot Size Map by outlining in blue and identifying as “Area 1”, those areas (in the suburbs of Cabramatta West, Canley Heights, Fairfield Heights and Canley Vale) to which the </w:t>
      </w:r>
      <w:r w:rsidR="009D0E1C">
        <w:rPr>
          <w:rFonts w:cs="Arial"/>
        </w:rPr>
        <w:t xml:space="preserve">provisions of </w:t>
      </w:r>
      <w:r w:rsidRPr="00341BCC">
        <w:rPr>
          <w:rFonts w:cs="Arial"/>
        </w:rPr>
        <w:t xml:space="preserve">proposed Clause 4.1C will apply. </w:t>
      </w:r>
    </w:p>
    <w:p w:rsidR="00DB1476" w:rsidRDefault="00DB1476"/>
    <w:sectPr w:rsidR="00DB1476" w:rsidSect="00DB14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3B" w:rsidRDefault="00BA673B" w:rsidP="009D0E1C">
      <w:r>
        <w:separator/>
      </w:r>
    </w:p>
  </w:endnote>
  <w:endnote w:type="continuationSeparator" w:id="0">
    <w:p w:rsidR="00BA673B" w:rsidRDefault="00BA673B" w:rsidP="009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5D" w:rsidRDefault="0008015D">
    <w:pPr>
      <w:pStyle w:val="Footer"/>
      <w:pBdr>
        <w:bottom w:val="single" w:sz="12" w:space="1" w:color="auto"/>
      </w:pBdr>
    </w:pPr>
  </w:p>
  <w:p w:rsidR="0008015D" w:rsidRDefault="0008015D">
    <w:pPr>
      <w:pStyle w:val="Footer"/>
    </w:pPr>
  </w:p>
  <w:p w:rsidR="0008015D" w:rsidRDefault="00080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3B" w:rsidRDefault="00BA673B" w:rsidP="009D0E1C">
      <w:r>
        <w:separator/>
      </w:r>
    </w:p>
  </w:footnote>
  <w:footnote w:type="continuationSeparator" w:id="0">
    <w:p w:rsidR="00BA673B" w:rsidRDefault="00BA673B" w:rsidP="009D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1C" w:rsidRDefault="009D0E1C">
    <w:pPr>
      <w:pStyle w:val="Header"/>
      <w:pBdr>
        <w:bottom w:val="single" w:sz="12" w:space="1" w:color="auto"/>
      </w:pBdr>
      <w:rPr>
        <w:b/>
        <w:sz w:val="30"/>
        <w:szCs w:val="30"/>
      </w:rPr>
    </w:pPr>
  </w:p>
  <w:p w:rsidR="009D0E1C" w:rsidRDefault="009D0E1C">
    <w:pPr>
      <w:pStyle w:val="Header"/>
      <w:pBdr>
        <w:bottom w:val="single" w:sz="12" w:space="1" w:color="auto"/>
      </w:pBdr>
      <w:rPr>
        <w:b/>
        <w:sz w:val="30"/>
        <w:szCs w:val="30"/>
      </w:rPr>
    </w:pPr>
  </w:p>
  <w:p w:rsidR="009D0E1C" w:rsidRDefault="009D0E1C">
    <w:pPr>
      <w:pStyle w:val="Header"/>
      <w:pBdr>
        <w:bottom w:val="single" w:sz="12" w:space="1" w:color="auto"/>
      </w:pBdr>
      <w:rPr>
        <w:b/>
        <w:sz w:val="30"/>
        <w:szCs w:val="30"/>
      </w:rPr>
    </w:pPr>
  </w:p>
  <w:p w:rsidR="009D0E1C" w:rsidRDefault="009D0E1C">
    <w:pPr>
      <w:pStyle w:val="Header"/>
      <w:pBdr>
        <w:bottom w:val="single" w:sz="12" w:space="1" w:color="auto"/>
      </w:pBdr>
      <w:rPr>
        <w:b/>
        <w:sz w:val="30"/>
        <w:szCs w:val="30"/>
      </w:rPr>
    </w:pPr>
    <w:r w:rsidRPr="009D0E1C">
      <w:rPr>
        <w:b/>
        <w:sz w:val="30"/>
        <w:szCs w:val="30"/>
      </w:rPr>
      <w:t>Fairfield Local Environmental Plan 2013 – Draft Amendment</w:t>
    </w:r>
  </w:p>
  <w:p w:rsidR="009D0E1C" w:rsidRPr="009D0E1C" w:rsidRDefault="009D0E1C">
    <w:pPr>
      <w:pStyle w:val="Header"/>
      <w:rPr>
        <w:b/>
        <w:sz w:val="30"/>
        <w:szCs w:val="30"/>
      </w:rPr>
    </w:pPr>
  </w:p>
  <w:p w:rsidR="009D0E1C" w:rsidRDefault="009D0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A6B"/>
    <w:multiLevelType w:val="hybridMultilevel"/>
    <w:tmpl w:val="5A5CE016"/>
    <w:lvl w:ilvl="0" w:tplc="21727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B62E88C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0D89"/>
    <w:multiLevelType w:val="hybridMultilevel"/>
    <w:tmpl w:val="F364D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F"/>
    <w:rsid w:val="0008015D"/>
    <w:rsid w:val="003715F6"/>
    <w:rsid w:val="00371A28"/>
    <w:rsid w:val="005B2EC0"/>
    <w:rsid w:val="005F4B7D"/>
    <w:rsid w:val="009D0E1C"/>
    <w:rsid w:val="00A776D2"/>
    <w:rsid w:val="00BA673B"/>
    <w:rsid w:val="00D04CA9"/>
    <w:rsid w:val="00D23C4E"/>
    <w:rsid w:val="00DB1476"/>
    <w:rsid w:val="00E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F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FF"/>
    <w:pPr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0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E1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E1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F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FF"/>
    <w:pPr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0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E1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E1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City Council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Workman</dc:creator>
  <cp:lastModifiedBy>Georgina Ballantine</cp:lastModifiedBy>
  <cp:revision>2</cp:revision>
  <cp:lastPrinted>2014-09-10T06:03:00Z</cp:lastPrinted>
  <dcterms:created xsi:type="dcterms:W3CDTF">2014-09-10T06:03:00Z</dcterms:created>
  <dcterms:modified xsi:type="dcterms:W3CDTF">2014-09-10T06:03:00Z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A1081863</vt:lpwstr>
  </property>
  <property fmtid="{D5CDD505-2E9C-101B-9397-08002B2CF9AE}" pid="4" name="Objective-Title">
    <vt:lpwstr>Fairfield LEP 2013 Draft Principal Development Standard Clause - Narrow Lot Areas</vt:lpwstr>
  </property>
  <property fmtid="{D5CDD505-2E9C-101B-9397-08002B2CF9AE}" pid="5" name="Objective-Comment">
    <vt:lpwstr/>
  </property>
  <property fmtid="{D5CDD505-2E9C-101B-9397-08002B2CF9AE}" pid="6" name="Objective-CreationStamp">
    <vt:filetime>2014-09-03T00:26:01Z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2014-09-03T05:14:53Z</vt:filetime>
  </property>
  <property fmtid="{D5CDD505-2E9C-101B-9397-08002B2CF9AE}" pid="11" name="Objective-Owner">
    <vt:lpwstr>Elizabeth Workman</vt:lpwstr>
  </property>
  <property fmtid="{D5CDD505-2E9C-101B-9397-08002B2CF9AE}" pid="12" name="Objective-Path">
    <vt:lpwstr>Objective Global Folder:FCC File Plan:Land Use and Planning:Planning:Fairfield Local Environmental Plan 2013 - Amendments:2013 LEP Amendment - Narrow Lot Areas:</vt:lpwstr>
  </property>
  <property fmtid="{D5CDD505-2E9C-101B-9397-08002B2CF9AE}" pid="13" name="Objective-Parent">
    <vt:lpwstr>2013 LEP Amendment - Narrow Lot Areas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Extender - Email URL [system]">
    <vt:lpwstr>Email URL</vt:lpwstr>
  </property>
  <property fmtid="{D5CDD505-2E9C-101B-9397-08002B2CF9AE}" pid="22" name="Objective-Author">
    <vt:lpwstr>Elizabeth Workman</vt:lpwstr>
  </property>
  <property fmtid="{D5CDD505-2E9C-101B-9397-08002B2CF9AE}" pid="23" name="Objective-Document Type">
    <vt:lpwstr>General Document</vt:lpwstr>
  </property>
  <property fmtid="{D5CDD505-2E9C-101B-9397-08002B2CF9AE}" pid="24" name="Objective-Route">
    <vt:lpwstr>Internal</vt:lpwstr>
  </property>
  <property fmtid="{D5CDD505-2E9C-101B-9397-08002B2CF9AE}" pid="25" name="Objective-Date Written">
    <vt:filetime>2014-09-02T14:00:00Z</vt:filetime>
  </property>
  <property fmtid="{D5CDD505-2E9C-101B-9397-08002B2CF9AE}" pid="26" name="Objective-External Author">
    <vt:lpwstr/>
  </property>
  <property fmtid="{D5CDD505-2E9C-101B-9397-08002B2CF9AE}" pid="27" name="Objective-Assignee">
    <vt:lpwstr>Elizabeth Workman</vt:lpwstr>
  </property>
  <property fmtid="{D5CDD505-2E9C-101B-9397-08002B2CF9AE}" pid="28" name="Objective-Description/Precis">
    <vt:lpwstr/>
  </property>
</Properties>
</file>